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1C" w:rsidRPr="00253E1C" w:rsidRDefault="00253E1C" w:rsidP="00253E1C">
      <w:pPr>
        <w:widowControl w:val="0"/>
        <w:autoSpaceDE w:val="0"/>
        <w:autoSpaceDN w:val="0"/>
        <w:adjustRightInd w:val="0"/>
        <w:spacing w:after="0" w:line="240" w:lineRule="auto"/>
        <w:ind w:left="134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3E1C" w:rsidRPr="00253E1C" w:rsidRDefault="00253E1C" w:rsidP="00253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253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Доклад об осуществлении жилищного муниципального контроля </w:t>
      </w:r>
    </w:p>
    <w:bookmarkEnd w:id="0"/>
    <w:p w:rsidR="00253E1C" w:rsidRPr="00253E1C" w:rsidRDefault="00253E1C" w:rsidP="00253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3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об эффективности такого контроля </w:t>
      </w:r>
    </w:p>
    <w:p w:rsidR="00253E1C" w:rsidRPr="00253E1C" w:rsidRDefault="00253E1C" w:rsidP="00253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4"/>
        <w:gridCol w:w="7054"/>
      </w:tblGrid>
      <w:tr w:rsidR="00253E1C" w:rsidRPr="00253E1C" w:rsidTr="007748E0">
        <w:tc>
          <w:tcPr>
            <w:tcW w:w="790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исполнительного органа муниципального образования, 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подготовившего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доклад:</w:t>
            </w:r>
          </w:p>
        </w:tc>
        <w:tc>
          <w:tcPr>
            <w:tcW w:w="705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Борискинский сельский исполнительный комитет Альметьевского  муниципального района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Республики Татарстан 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253E1C" w:rsidRPr="00253E1C" w:rsidTr="007748E0">
        <w:tc>
          <w:tcPr>
            <w:tcW w:w="790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E1C" w:rsidRPr="00253E1C" w:rsidTr="007748E0">
        <w:tc>
          <w:tcPr>
            <w:tcW w:w="790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осуществляемого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контроля (надзора):</w:t>
            </w:r>
          </w:p>
        </w:tc>
        <w:tc>
          <w:tcPr>
            <w:tcW w:w="705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Муниципальный жилищный  контроль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253E1C" w:rsidRPr="00253E1C" w:rsidTr="007748E0">
        <w:tc>
          <w:tcPr>
            <w:tcW w:w="790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E1C" w:rsidRPr="00253E1C" w:rsidTr="007748E0">
        <w:tc>
          <w:tcPr>
            <w:tcW w:w="790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муниципального контроля (надзора):</w:t>
            </w:r>
          </w:p>
        </w:tc>
        <w:tc>
          <w:tcPr>
            <w:tcW w:w="705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Муниципальный жилищный контроль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253E1C" w:rsidRPr="00253E1C" w:rsidTr="007748E0">
        <w:tc>
          <w:tcPr>
            <w:tcW w:w="790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E1C" w:rsidRPr="00253E1C" w:rsidTr="007748E0">
        <w:tc>
          <w:tcPr>
            <w:tcW w:w="790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нормативных правовых актов, уполномочивающих исполнительный орган муниципального образования на осуществление муниципального контроля (надзора):</w:t>
            </w:r>
          </w:p>
        </w:tc>
        <w:tc>
          <w:tcPr>
            <w:tcW w:w="705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Конституция  Российской Федерации, Жилищный кодекс Российской Федерации,  Федеральный закон от 26.12.2008 гола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Федеральный закон от 06.10.2003 года № 131-ФЗ «Об общих принципах организации местного самоуправления в Российской Федерации», Приказ Министерства экономического развития российской Федерации от 30.04.2009 года №141 «О реализации положений Федерального закона «О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защите прав юридических лиц и индивидуальных предпринимателей на осуществление государственного контроля (надзора) и муниципального контроля», Решение Борискинского сельского Совета  Альметьевского муниципального района Республики Татарстан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Уставе муниципального образования  «Борискинское сельское поселения Альметьевского муниципального района Республики Татарстан» 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 04.10.2011 года   №35  (с изменениями от 06.07.2012 года № 62, от 28.08.2013  года № 100, от 19.12.2014 года №154</w:t>
            </w:r>
            <w:r w:rsidR="00FF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, от 12.05.2016 года №31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), Постановление Борискинского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сельского Исполнительного комитета Альметьевского  муниципального района Республики Татарстан от 19.09.2013 года  № 10 «Об утверждении административного регламента по осуществлению муниципального жилищного контроля на территории Борискинского сельского поселения 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Альметьевского муниципального района Республики Татарстан»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</w:t>
            </w:r>
          </w:p>
        </w:tc>
      </w:tr>
    </w:tbl>
    <w:p w:rsidR="00253E1C" w:rsidRPr="00253E1C" w:rsidRDefault="00253E1C" w:rsidP="00253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586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"/>
        <w:gridCol w:w="392"/>
        <w:gridCol w:w="2716"/>
        <w:gridCol w:w="383"/>
        <w:gridCol w:w="1582"/>
        <w:gridCol w:w="1240"/>
        <w:gridCol w:w="895"/>
        <w:gridCol w:w="416"/>
        <w:gridCol w:w="135"/>
        <w:gridCol w:w="349"/>
        <w:gridCol w:w="1742"/>
        <w:gridCol w:w="1158"/>
        <w:gridCol w:w="41"/>
        <w:gridCol w:w="1068"/>
        <w:gridCol w:w="349"/>
        <w:gridCol w:w="243"/>
        <w:gridCol w:w="608"/>
        <w:gridCol w:w="607"/>
        <w:gridCol w:w="202"/>
        <w:gridCol w:w="1459"/>
        <w:gridCol w:w="101"/>
      </w:tblGrid>
      <w:tr w:rsidR="00253E1C" w:rsidRPr="00253E1C" w:rsidTr="007748E0">
        <w:trPr>
          <w:gridAfter w:val="1"/>
          <w:wAfter w:w="101" w:type="dxa"/>
        </w:trPr>
        <w:tc>
          <w:tcPr>
            <w:tcW w:w="15761" w:type="dxa"/>
            <w:gridSpan w:val="20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smartTag w:uri="urn:schemas-microsoft-com:office:smarttags" w:element="place">
              <w:r w:rsidRPr="00253E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en-US" w:eastAsia="ru-RU"/>
                </w:rPr>
                <w:t>I</w:t>
              </w:r>
              <w:r w:rsidRPr="00253E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.</w:t>
              </w:r>
            </w:smartTag>
            <w:r w:rsidRPr="00253E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Состояние нормативно-правового регулирования 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соответствующей сфере деятельности</w:t>
            </w:r>
          </w:p>
        </w:tc>
      </w:tr>
      <w:tr w:rsidR="00253E1C" w:rsidRPr="00253E1C" w:rsidTr="007748E0">
        <w:tc>
          <w:tcPr>
            <w:tcW w:w="3667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нормативного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правового акта,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регламентирующего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деятельность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органа   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муниципального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контроля (надзора)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его должностных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лиц, а также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устанавливающего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обязательные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требования к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осуществлению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деятельности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юридических лиц и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индивидуальных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предпринимателей,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соблюдение 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которых подлежит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проверке в 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процессе  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осуществления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муниципального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>контрол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надзора)</w:t>
            </w:r>
          </w:p>
        </w:tc>
        <w:tc>
          <w:tcPr>
            <w:tcW w:w="1582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Достаточ-ность</w:t>
            </w:r>
            <w:proofErr w:type="spellEnd"/>
            <w:proofErr w:type="gramEnd"/>
          </w:p>
        </w:tc>
        <w:tc>
          <w:tcPr>
            <w:tcW w:w="1240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Полнота</w:t>
            </w:r>
          </w:p>
        </w:tc>
        <w:tc>
          <w:tcPr>
            <w:tcW w:w="1311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Объектив-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484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Научная обоснованность</w:t>
            </w:r>
          </w:p>
        </w:tc>
        <w:tc>
          <w:tcPr>
            <w:tcW w:w="290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Доступность для юридических лиц, индивидуальных предпринимателей</w:t>
            </w:r>
          </w:p>
        </w:tc>
        <w:tc>
          <w:tcPr>
            <w:tcW w:w="1701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Возможность исполнения и контроля</w:t>
            </w:r>
          </w:p>
        </w:tc>
        <w:tc>
          <w:tcPr>
            <w:tcW w:w="1417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 xml:space="preserve">Признаки 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коррупцио-генности</w:t>
            </w:r>
            <w:proofErr w:type="spellEnd"/>
          </w:p>
        </w:tc>
        <w:tc>
          <w:tcPr>
            <w:tcW w:w="156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 xml:space="preserve">Прочие 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характерис</w:t>
            </w:r>
            <w:proofErr w:type="spellEnd"/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-тики</w:t>
            </w:r>
            <w:proofErr w:type="gramEnd"/>
          </w:p>
        </w:tc>
      </w:tr>
      <w:tr w:rsidR="00253E1C" w:rsidRPr="00253E1C" w:rsidTr="007748E0">
        <w:trPr>
          <w:trHeight w:val="420"/>
        </w:trPr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dxa"/>
            <w:gridSpan w:val="2"/>
            <w:tcBorders>
              <w:bottom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53E1C" w:rsidRPr="00253E1C" w:rsidTr="007748E0">
        <w:trPr>
          <w:trHeight w:val="120"/>
        </w:trPr>
        <w:tc>
          <w:tcPr>
            <w:tcW w:w="3667" w:type="dxa"/>
            <w:gridSpan w:val="4"/>
            <w:tcBorders>
              <w:top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размещена в информационных системах «Гарант», «Консультант+» и различных сайтах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3E1C" w:rsidRPr="00253E1C" w:rsidTr="007748E0">
        <w:tc>
          <w:tcPr>
            <w:tcW w:w="3667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кодекс Российской Федерации</w:t>
            </w:r>
          </w:p>
        </w:tc>
        <w:tc>
          <w:tcPr>
            <w:tcW w:w="1582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40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11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84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0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размещена в информационных 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системах «Гарант», «Консультант+» и различных сайтах</w:t>
            </w:r>
          </w:p>
        </w:tc>
        <w:tc>
          <w:tcPr>
            <w:tcW w:w="1701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417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3E1C" w:rsidRPr="00253E1C" w:rsidTr="007748E0">
        <w:tc>
          <w:tcPr>
            <w:tcW w:w="3667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 закон № 294-ФЗ от 26.12.2008 г.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582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40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11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84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0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размещена в информационных системах «Гарант», «Консультант+» и различных сайтах</w:t>
            </w:r>
          </w:p>
        </w:tc>
        <w:tc>
          <w:tcPr>
            <w:tcW w:w="1701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3E1C" w:rsidRPr="00253E1C" w:rsidTr="007748E0">
        <w:tc>
          <w:tcPr>
            <w:tcW w:w="3667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582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40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11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84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0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размещена в информационных системах «Гарант», «Консультант+» и различных сайтах</w:t>
            </w:r>
          </w:p>
        </w:tc>
        <w:tc>
          <w:tcPr>
            <w:tcW w:w="1701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3E1C" w:rsidRPr="00253E1C" w:rsidTr="007748E0">
        <w:tc>
          <w:tcPr>
            <w:tcW w:w="3667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Министерства экономического развития российской Федерации от 30.04.2009 года №141 «О реализации положений Федерального закона «О защите прав юридических лиц и индивидуальных предпринимателей на осуществление государственного контроля (надзора) и муниципального контроля»</w:t>
            </w:r>
          </w:p>
        </w:tc>
        <w:tc>
          <w:tcPr>
            <w:tcW w:w="1582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40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11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84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0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размещена в информационных системах «Гарант», «Консультант+» и различных сайтах</w:t>
            </w:r>
          </w:p>
        </w:tc>
        <w:tc>
          <w:tcPr>
            <w:tcW w:w="1701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3E1C" w:rsidRPr="00253E1C" w:rsidTr="007748E0">
        <w:tc>
          <w:tcPr>
            <w:tcW w:w="3667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Борискинского сельского Совета  Альметьевского муниципального района Республики Татарстан «  Об Уставе муниципального образования  «Борискинское сельское поселение Альметьевского муниципального района Республики Татарстан от 04.10.2011 года   №35  (с изменениями от 06.07.2012 года № 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62, от 28.08.2013  года № 100, от 19.12.2014 года №154</w:t>
            </w:r>
            <w:r w:rsidR="00FF2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 12.05.2016 года №31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</w:t>
            </w:r>
          </w:p>
        </w:tc>
        <w:tc>
          <w:tcPr>
            <w:tcW w:w="1582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240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11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84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0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размещена на официальном портале Альметьевского муниципального района: 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almetyevsk</w:t>
            </w:r>
            <w:proofErr w:type="spell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tatar</w:t>
            </w:r>
            <w:proofErr w:type="spell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разделе: О районе/сельские поселения /, Уставы</w:t>
            </w:r>
          </w:p>
        </w:tc>
        <w:tc>
          <w:tcPr>
            <w:tcW w:w="1701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по результатам проведения антикоррупционной экспертизы от 25.12.2014 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выполнено начальником юридического отдела аппарата Совета Альметьевского муниципального района</w:t>
            </w:r>
          </w:p>
        </w:tc>
        <w:tc>
          <w:tcPr>
            <w:tcW w:w="156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253E1C" w:rsidRPr="00253E1C" w:rsidTr="007748E0">
        <w:tc>
          <w:tcPr>
            <w:tcW w:w="3667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Постановление Борискинского сельского Исполнительного комитета Альметьевского  муниципального района Республики Татарстан от 19.09.2013 года  № 10 «Об утверждении административного регламента по осуществлению муниципального жилищного контроля на территории Борискинского сельского поселения Альметьевского муниципального района Республики Татарстан _</w:t>
            </w:r>
          </w:p>
        </w:tc>
        <w:tc>
          <w:tcPr>
            <w:tcW w:w="1582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40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11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84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0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размещена на официальном портале Альметьевского муниципального района: 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almetyevsk</w:t>
            </w:r>
            <w:proofErr w:type="spell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tatar</w:t>
            </w:r>
            <w:proofErr w:type="spell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разделе: О районе/сельские поселения /, Борискинское сельское поселение/нормативно-правовые акты, документы/2013</w:t>
            </w:r>
          </w:p>
        </w:tc>
        <w:tc>
          <w:tcPr>
            <w:tcW w:w="1701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gridSpan w:val="3"/>
          </w:tcPr>
          <w:p w:rsidR="00253E1C" w:rsidRPr="00253E1C" w:rsidRDefault="00FF2E72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соотве</w:t>
            </w:r>
            <w:r w:rsidR="00253E1C"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53E1C"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 законодательству РФ  НПА от 24.09.2013 г. выполнено начальником правового управления Исполнительного комитета  Альметьевского муниципального района</w:t>
            </w:r>
          </w:p>
        </w:tc>
        <w:tc>
          <w:tcPr>
            <w:tcW w:w="156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3E1C" w:rsidRPr="00253E1C" w:rsidTr="007748E0">
        <w:trPr>
          <w:gridAfter w:val="1"/>
          <w:wAfter w:w="101" w:type="dxa"/>
        </w:trPr>
        <w:tc>
          <w:tcPr>
            <w:tcW w:w="15761" w:type="dxa"/>
            <w:gridSpan w:val="20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253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253E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муниципального контроля (надзора)</w:t>
            </w:r>
          </w:p>
        </w:tc>
      </w:tr>
      <w:tr w:rsidR="00253E1C" w:rsidRPr="00253E1C" w:rsidTr="007748E0">
        <w:trPr>
          <w:gridAfter w:val="1"/>
          <w:wAfter w:w="101" w:type="dxa"/>
          <w:trHeight w:val="282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 об  организационной  структуре   и   системе управления органа муниципального контроля (надзора)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структура Борискинского сельского Исполнительного комитета  Альметьевского  муниципального района Республики Татарстан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53E1C" w:rsidRPr="00253E1C" w:rsidTr="007748E0">
        <w:trPr>
          <w:gridAfter w:val="1"/>
          <w:wAfter w:w="101" w:type="dxa"/>
          <w:trHeight w:val="697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 и  описание   основных   и   вспомогательных</w:t>
            </w:r>
            <w:r w:rsidRPr="0025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(обеспечительных) функций       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Борискинский сельский Исполнительный комитет  Альметьевского  муниципального района РТ осуществляет в установленном порядке управление, владение и распоряжение муниципальным имуществом, ведёт Реестр муниципальной собственности. В области управления муниципальной собственностью, взаимоотношений с предприятиями, учреждениями и организациями на территории Поселения: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- управляет имуществом, находящимся в муниципальной собственности Поселения, решает вопросы по созданию, приобретению, использованию, распоряжению и аренде объектов муниципальной собственности;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- в случаях, определяемых решением Совета Поселения, подготавливает и вносит на согласование (утверждение) Совета Поселения предложения об отчуждении муниципального имущества, в том числе о его приватизации;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- заключает с предприятиями, организациями, не находящимися в муниципальной собственности, договоры о сотрудничестве в экономическом и социальном развитии Поселения; содействует созданию на территории Поселения предприятий различных форм собственности в сфере обслуживания населения;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- создает муниципальные предприятия и учреждения, осуществляет финансовое обеспечение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формирует и размещает муниципальный заказ;</w:t>
            </w:r>
          </w:p>
          <w:p w:rsidR="00253E1C" w:rsidRPr="00253E1C" w:rsidRDefault="00253E1C" w:rsidP="00253E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ab/>
              <w:t>- выступает заказчиком работ по благоустройству Поселения, коммунальному обслуживанию населения, строительству и ремонту объектов социальной инфраструктуры, производству продукции, оказанию услуг, необходимых для удовлетворения бытовых и социально - культурных потребностей населения, на выполнение других работ с использованием предусмотренных для этого собственных материальных и финансовых средств Поселения;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E1C" w:rsidRPr="00253E1C" w:rsidTr="007748E0">
        <w:trPr>
          <w:gridAfter w:val="1"/>
          <w:wAfter w:w="101" w:type="dxa"/>
          <w:trHeight w:val="697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и реквизиты нормативных правовых актов, регламентирующих порядок исполнения указанных функций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3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Конституция  Российской Федерации, Жилищный кодекс Российской Федерации,  Федеральный закон от 26.12.2008 гола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Федеральный закон от 06.10.2003 года № 131-ФЗ «Об общих принципах организации местного самоуправления в Российской Федерации», Приказ Министерства экономического развития российской Федерации от 30.04.2009 года №141 «О реализации положений Федерального закона «О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защите прав юридических лиц и индивидуальных предпринимателей на осуществление государственного контроля (надзора) и муниципального контроля», Решение Борискинского сельского Совета  Альметьевского муниципального района Республики Татарстан «Об Уставе муниципального образования  «Борискинское сельское поселения Альметьевского муниципального района Республики Татарстан» от 04.10.2011 года   №35  (с изменениями от 06.07.2012 года № 62, от 28.08.2013  года № 100, от 19.12.2014 года №154</w:t>
            </w:r>
            <w:r w:rsidR="00FF2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 12.05.2016 года №31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Постановление Борискинского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Исполнительного комитета Альметьевского  муниципального района Республики Татарстан от 19.09.2013 года  № 10 «Об утверждении административного регламента по осуществлению муниципального жилищного контроля на территории Борискинского сельского поселения Альметьевского муниципального района Республики Татарстан»</w:t>
            </w:r>
          </w:p>
        </w:tc>
      </w:tr>
      <w:tr w:rsidR="00253E1C" w:rsidRPr="00253E1C" w:rsidTr="007748E0">
        <w:trPr>
          <w:gridAfter w:val="1"/>
          <w:wAfter w:w="101" w:type="dxa"/>
          <w:trHeight w:val="380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 взаимодействии  органа  муниципального контроля (надзора) при осуществлении своих  функций  с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другими органами муниципального контроля  (надзора),  порядке  и  формах   такого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взаимодействия                  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действующим законодательством Борискинский сельский Исполнительный комитет взаимодействует с органами прокуратуры на основании 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закона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 Борискинского сельского Исполнительного комитета Альметьевского  муниципального района Республики Татарстан от 19.09.2013 года  № 10 «Об утверждении административного регламента по осуществлению муниципального жилищного контроля на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территории Борискинского сельского поселения Альметьевского муниципального района Республики Татарстан». Взаимодействие с органами прокуратуры осуществляется в форме уведомлений, предоставлении сведений о проделанных плановых и внеплановых проверках. </w:t>
            </w:r>
          </w:p>
        </w:tc>
      </w:tr>
      <w:tr w:rsidR="00253E1C" w:rsidRPr="00253E1C" w:rsidTr="007748E0">
        <w:trPr>
          <w:gridAfter w:val="1"/>
          <w:wAfter w:w="101" w:type="dxa"/>
          <w:trHeight w:val="380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 о  выполнении   функций   по   осуществлению муниципального контроля (надзора)  подведомственными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органам   муниципальной   власти   организациями   с указанием  их  наименований,   организационно-правовой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формы,  нормативных  правовых  актов,   на   основании которых указанные  организации  осуществляют  контроль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(надзор)                        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подведомственные органам муниципальной власти, осуществляющие контроль (надзор) отсутствуют.</w:t>
            </w:r>
          </w:p>
        </w:tc>
      </w:tr>
      <w:tr w:rsidR="00253E1C" w:rsidRPr="00253E1C" w:rsidTr="007748E0">
        <w:trPr>
          <w:gridAfter w:val="1"/>
          <w:wAfter w:w="101" w:type="dxa"/>
          <w:trHeight w:val="380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 о   проведенной   работе   по   аккредитации юридических  лиц  и  граждан  в  качестве   экспертных организаций и  экспертов,  привлекаемых  к  выполнению мероприятий по контролю при проведении проверок    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Аккредитация юридических лиц и граждан в качестве экспертных организаций и экспертов не проводилась.</w:t>
            </w:r>
          </w:p>
        </w:tc>
      </w:tr>
      <w:tr w:rsidR="00253E1C" w:rsidRPr="00253E1C" w:rsidTr="007748E0">
        <w:trPr>
          <w:gridAfter w:val="1"/>
          <w:wAfter w:w="101" w:type="dxa"/>
          <w:trHeight w:val="67"/>
        </w:trPr>
        <w:tc>
          <w:tcPr>
            <w:tcW w:w="15761" w:type="dxa"/>
            <w:gridSpan w:val="20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253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253E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Финансовое и кадровое обеспечение муниципального контроля </w:t>
            </w:r>
          </w:p>
        </w:tc>
      </w:tr>
      <w:tr w:rsidR="00253E1C" w:rsidRPr="00253E1C" w:rsidTr="007748E0">
        <w:trPr>
          <w:gridAfter w:val="1"/>
          <w:wAfter w:w="101" w:type="dxa"/>
          <w:trHeight w:val="278"/>
        </w:trPr>
        <w:tc>
          <w:tcPr>
            <w:tcW w:w="568" w:type="dxa"/>
            <w:gridSpan w:val="2"/>
            <w:vMerge w:val="restart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7" w:type="dxa"/>
            <w:gridSpan w:val="7"/>
            <w:vMerge w:val="restart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  характеризующие   финансовое   обеспечение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 функций по  осуществлению  муниципального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контроля (надзора)                                    </w:t>
            </w:r>
          </w:p>
        </w:tc>
        <w:tc>
          <w:tcPr>
            <w:tcW w:w="2091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выделение бюджетных средств, 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2616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выделение бюджетных средств, 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3119" w:type="dxa"/>
            <w:gridSpan w:val="5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Расходование бюджетных средств (в 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расчете на объем исполненных в отчетный период контрольных функций), 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253E1C" w:rsidRPr="00253E1C" w:rsidTr="007748E0">
        <w:trPr>
          <w:gridAfter w:val="1"/>
          <w:wAfter w:w="101" w:type="dxa"/>
          <w:trHeight w:val="277"/>
        </w:trPr>
        <w:tc>
          <w:tcPr>
            <w:tcW w:w="568" w:type="dxa"/>
            <w:gridSpan w:val="2"/>
            <w:vMerge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gridSpan w:val="7"/>
            <w:vMerge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бюджете не предусмотрено</w:t>
            </w:r>
          </w:p>
        </w:tc>
        <w:tc>
          <w:tcPr>
            <w:tcW w:w="2616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бюджете не предусмотрено</w:t>
            </w:r>
          </w:p>
        </w:tc>
        <w:tc>
          <w:tcPr>
            <w:tcW w:w="3119" w:type="dxa"/>
            <w:gridSpan w:val="5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бюджете не предусмотрено</w:t>
            </w:r>
          </w:p>
        </w:tc>
      </w:tr>
      <w:tr w:rsidR="00253E1C" w:rsidRPr="00253E1C" w:rsidTr="007748E0">
        <w:trPr>
          <w:gridAfter w:val="1"/>
          <w:wAfter w:w="101" w:type="dxa"/>
          <w:trHeight w:val="54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 о  штатной   численности   работников   органа муниципального   контроля   (надзора),   выполняющих функции по контролю, и об  укомплектованности  штатной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численности                     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работников Борискинского сельского Исполнительного комитета Альметьевского  муниципального района – 3 человека. Штат укомплектован полностью. Руководитель Исполнительного комитета  отвечает за осуществление муниципального жилищного  контроля.</w:t>
            </w:r>
          </w:p>
        </w:tc>
      </w:tr>
      <w:tr w:rsidR="00253E1C" w:rsidRPr="00253E1C" w:rsidTr="007748E0">
        <w:trPr>
          <w:gridAfter w:val="1"/>
          <w:wAfter w:w="101" w:type="dxa"/>
          <w:trHeight w:val="54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квалификации работников, о мероприятиях  по повышению их квалификации       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сотрудники Борискинского сельского Исполнительного комитета  имеют высшее образование.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F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проводились мероприятия по повышению квалификации работника Исполнительного комитета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квалификации прошел заместитель руководителя  в ФГАОУВПО «Казанский (Приволжский) федеральный университет» </w:t>
            </w:r>
          </w:p>
        </w:tc>
      </w:tr>
      <w:tr w:rsidR="00253E1C" w:rsidRPr="00253E1C" w:rsidTr="007748E0">
        <w:trPr>
          <w:gridAfter w:val="1"/>
          <w:wAfter w:w="101" w:type="dxa"/>
          <w:trHeight w:val="54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 средней  нагрузке  на  одного  работника  по фактически  выполненному  в  отчетный  период   объему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функций по контролю             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не проводились, в связи с отсутствием юридических лиц, индивидуальных предпринимателей, которые осуществляли бы свою деятельность с использованием муниципального жилищного фонда.</w:t>
            </w:r>
          </w:p>
        </w:tc>
      </w:tr>
      <w:tr w:rsidR="00253E1C" w:rsidRPr="00253E1C" w:rsidTr="007748E0">
        <w:trPr>
          <w:gridAfter w:val="1"/>
          <w:wAfter w:w="101" w:type="dxa"/>
          <w:trHeight w:val="54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 экспертов  и  представителей   экспертных организаций, привлекаемых к проведению мероприятий  по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контролю (при их наличии)       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 и экспертные организации к проведению мероприятий не привлекались в связи с отсутствием финансирования.</w:t>
            </w:r>
          </w:p>
        </w:tc>
      </w:tr>
      <w:tr w:rsidR="00253E1C" w:rsidRPr="00253E1C" w:rsidTr="007748E0">
        <w:trPr>
          <w:gridAfter w:val="1"/>
          <w:wAfter w:w="101" w:type="dxa"/>
          <w:trHeight w:val="67"/>
        </w:trPr>
        <w:tc>
          <w:tcPr>
            <w:tcW w:w="15761" w:type="dxa"/>
            <w:gridSpan w:val="20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253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253E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Проведение муниципального контроля 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Сведения, характеризующие выполненную в отчетный  период 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работу по осуществлению муниципального  контроля (надзора) по соответствующим сферам деятельности                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Проверки не проводились в связи с отсутствием юридических лиц, 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предпринимателей, которые осуществляли бы свою деятельность с использованием муниципального жилищного фонда.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результатах работы экспертов и экспертных организаций, привлекаемых к проведению мероприятий по контролю (при их наличии)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 и экспертные организации к проведению мероприятий не привлекались в связи с отсутствием финансирования.</w:t>
            </w:r>
          </w:p>
        </w:tc>
      </w:tr>
      <w:tr w:rsidR="00253E1C" w:rsidRPr="00253E1C" w:rsidTr="007748E0">
        <w:trPr>
          <w:gridAfter w:val="1"/>
          <w:wAfter w:w="101" w:type="dxa"/>
        </w:trPr>
        <w:tc>
          <w:tcPr>
            <w:tcW w:w="15761" w:type="dxa"/>
            <w:gridSpan w:val="20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253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253E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Действия органов муниципального контроля (надзора) по пресечению нарушений обязательных требований и (или) устранению последствий таких нарушений</w:t>
            </w:r>
          </w:p>
        </w:tc>
      </w:tr>
      <w:tr w:rsidR="00253E1C" w:rsidRPr="00253E1C" w:rsidTr="007748E0">
        <w:trPr>
          <w:gridAfter w:val="1"/>
          <w:wAfter w:w="101" w:type="dxa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принятых органом муниципального контроля мерах реагирования по фактам выявленных нарушений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253E1C" w:rsidRPr="00253E1C" w:rsidTr="007748E0">
        <w:trPr>
          <w:gridAfter w:val="1"/>
          <w:wAfter w:w="101" w:type="dxa"/>
        </w:trPr>
        <w:tc>
          <w:tcPr>
            <w:tcW w:w="15761" w:type="dxa"/>
            <w:gridSpan w:val="20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 w:rsidRPr="00253E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Анализ и оценка эффективности муниципального контроля (надзор)</w:t>
            </w:r>
          </w:p>
        </w:tc>
      </w:tr>
      <w:tr w:rsidR="00253E1C" w:rsidRPr="00253E1C" w:rsidTr="007748E0">
        <w:trPr>
          <w:gridAfter w:val="1"/>
          <w:wAfter w:w="101" w:type="dxa"/>
          <w:trHeight w:val="380"/>
        </w:trPr>
        <w:tc>
          <w:tcPr>
            <w:tcW w:w="568" w:type="dxa"/>
            <w:gridSpan w:val="2"/>
            <w:vMerge w:val="restart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gridSpan w:val="7"/>
            <w:vMerge w:val="restart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муниципального контроля, рассчитанные на основании сведений, содержащихся в форме № 1-контроль «Сведения об осуществлении государственного контроля (надзора)», утверждаемой Росстатом: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анализа и оценки показателей эффективности муниципального контроля (надзора)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  <w:vMerge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gridSpan w:val="7"/>
            <w:vMerge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за отчётный период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за предшествующий период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отклонения значений показателей (более 10 процентов) 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утвержденного  плана  проведения  плановых проверок   (в   процентах   от    общего    количества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запланированных проверок)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юридических лиц и ИП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юридических лиц, индивидуальных предпринимателей,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которых органами муниципального контроля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(надзора) были  проведены  проверки  (в  процентах  от общего  количества  юридических  лиц,   индивидуальных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предпринимателей,   осуществляющих   деятельность   на территории Поселения</w:t>
            </w:r>
            <w:proofErr w:type="gramEnd"/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проведенных внеплановых проверок (в процентах от общего количества проведенных проверок)</w:t>
            </w: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внеплановых  проверок,  проведенных  по   фактам нарушений, с  которыми  связано  возникновение  угрозы причинения  вреда  жизни  и  здоровью  граждан,  вреда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животным,  растениям,   окружающей   среде,   объектам культурного наследия (памятникам истории  и  культуры) народов Российской Федерации, имуществу  физических  и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юридических лиц,  безопасности  государства,  а  также угрозы чрезвычайных ситуаций природного и техногенного характера, с целью  предотвращения  угрозы  причинения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такого  вреда  (в  процентах  от   общего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количества проведенных внеплановых проверок)                     </w:t>
            </w: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юридических лиц, индивидуальных предпринимателей, в деятельности которых выявлены нарушения обязательных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требований,  представляющие непосредственную   угрозу причинения  вреда  жизни  и  здоровью  граждан,  вреда животным,  растениям,   окружающей   среде,   объектам культурного наследия (памятникам истории  и  культуры) народов Российской Федерации, имуществу  физических  и юридических лиц,  безопасности  государства,  а  также угрозу чрезвычайных ситуаций природного и техногенного характера (в процентах  от  общего  числа  проверенных лиц)                                                  </w:t>
            </w:r>
            <w:proofErr w:type="gramEnd"/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внеплановых  проверок,  проведенных  по   фактам нарушений обязательных требований, с которыми  связано причинение  вреда  жизни  и  здоровью  граждан,  вреда животным,  растениям,   окружающей   среде,   объектам культурного наследия (памятникам истории  и  культуры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ародов Российской Федерации, имуществу  физических  и юридических лиц,  безопасности  государства,  а  также возникновение  чрезвычайных  ситуаций   природного   и техногенного   характера,    с    целью    прекращения дальнейшего причинения вреда и ликвидации  последствий таких нарушений  (в  процентах  от  общего  количества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проведенных внеплановых проверок)                     </w:t>
            </w: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 жизни и  здоровью  граждан,   вреда   животным,   растениям, окружающей  среде,   объектам   культурного   наследи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памятникам истории  и  культуры)  народов  Российской Федерации, имуществу  физических  и  юридических  лиц, безопасности  государства,   а   также   возникновения чрезвычайных  ситуаций   природного   и   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техногенного характера (в процентах  от  общего  числа  проверенных лиц)                                                  </w:t>
            </w: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выявленных при  проведении  внеплановых  проверок правонарушений, связанных с неисполнением  предписаний (в    процентах    от    общего    числа    выявленных правонарушений)  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проверок, по итогам которых по фактам  выявленных нарушений   возбуждены   дела   об    административных правонарушениях (в процентах от общего числа проверок, в результате которых выявлены правонарушения)         </w:t>
            </w: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по итогам которых по фактам  выявленных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нарушений наложены административные взыскания,  в  том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 по видам наказаний (в процентах от общего  числа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проверок,    в     результате     которых     выявлены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правонарушения)                                       </w:t>
            </w: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по итогам которых по фактам  выявленных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нарушений  материалы  переданы  в   правоохранительные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органы для возбуждения уголовных дел (в  процентах  от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общего числа проверок, в результате  которых  выявлены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правонарушения)                                       </w:t>
            </w: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 заявлений  органов   муниципального   контроля (надзора),  направленных  в   органы   прокуратуры   о согласовании  проведения   внеплановых   проверок,   в согласовании  которых  было   отказано   в   связи   с нарушением  порядка  и   отсутствием   оснований   для проведения таких проверок (в процентах от общего числа направленных в органы прокуратуры заявлений)          </w:t>
            </w: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проверок, проведенных  органами  муниципального контроля    (надзора)    с    нарушением    требований законодательства   о   порядке   их   проведения,   по 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выявления  которых  к  должностным  лицам органов  муниципального    контроля     (надзора), осуществившим   такие   проверки,    применены    меры дисциплинарного,   административного   наказания    (в процентах от общего числа проведенных проверок)       </w:t>
            </w: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особенности  осуществления муниципального контроля (надзора) в  соответствующих сферах   деятельности,   расчет   и   анализ   которых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проводится    органами  муниципального    контроля (надзора)   на   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основании   сведений    ведомственных статистических наблюдений       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органов муниципального  контроля  (надзора) по  пресечению  нарушений  обязательных  требований  и (или) устранению последствий таких  нарушений,  в 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по оценке предотвращенного  в  результате  таких действий  ущерба  (по  имеющимся   методикам   расчета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размеров ущерба в различных сферах деятельности)      </w:t>
            </w: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 прогноз состояния исполнения обязательных требований законодательства в соответствующей сфере деятельности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проверки осуществлены в полном объёме. По результатам проверок за отчётный период нарушения не выявлены.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 мониторинга   эффективности  муниципального контроля (надзора), проведенного  на  основе  Методики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эффективности  муниципального контроля (надзора) 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контроль осуществляется Борискинским сельским Исполнительным комитетом  Альметьевского муниципального района. Нарушения порядка проведения муниципального жилищного контроля не выявлено.</w:t>
            </w:r>
          </w:p>
        </w:tc>
      </w:tr>
      <w:tr w:rsidR="00253E1C" w:rsidRPr="00253E1C" w:rsidTr="007748E0">
        <w:trPr>
          <w:gridAfter w:val="1"/>
          <w:wAfter w:w="101" w:type="dxa"/>
        </w:trPr>
        <w:tc>
          <w:tcPr>
            <w:tcW w:w="15761" w:type="dxa"/>
            <w:gridSpan w:val="20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253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253E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Выводы и предложения по результатам муниципального контроля (надзора)</w:t>
            </w:r>
            <w:r w:rsidRPr="0025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Выводы  и  предложения  по  результатам  осуществления муниципального  контроля  (надзора),  в  том   числе планируемые   на   текущий    год    показатели    его эффективности                   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самовольным занятием муниципального жилищного фонда и его использования без оформления в установленном порядке документов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о  совершенствовании  нормативно-правового регулирования   и    осуществления    муниципального контроля    (надзора)    в    соответствующей    сфере деятельности                    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полномочия органов местного самоуправления по привлечению лиц, нарушивших земельное законодательство к административной ответственности.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 предложения,   связанные    с    осуществлением муниципального контроля (надзора) и направленные  на повышение эффективности такого  контроля  (надзора)  и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сокращение     административных     ограничений      в предпринимательской деятельности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предложения отсутствуют.</w:t>
            </w:r>
          </w:p>
        </w:tc>
      </w:tr>
      <w:tr w:rsidR="00253E1C" w:rsidRPr="00253E1C" w:rsidTr="00774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76" w:type="dxa"/>
          <w:wAfter w:w="1762" w:type="dxa"/>
          <w:trHeight w:val="90"/>
        </w:trPr>
        <w:tc>
          <w:tcPr>
            <w:tcW w:w="310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Борискинского сельского Исполнительного  Альметьевского  муниципального района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Ж.С.Илалов</w:t>
            </w:r>
            <w:proofErr w:type="spell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(Ф.И.О.)</w:t>
            </w:r>
          </w:p>
        </w:tc>
        <w:tc>
          <w:tcPr>
            <w:tcW w:w="4909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(Подпись)</w:t>
            </w:r>
          </w:p>
        </w:tc>
        <w:tc>
          <w:tcPr>
            <w:tcW w:w="1807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E1C" w:rsidRPr="00253E1C" w:rsidTr="00774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76" w:type="dxa"/>
          <w:wAfter w:w="1762" w:type="dxa"/>
        </w:trPr>
        <w:tc>
          <w:tcPr>
            <w:tcW w:w="310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ответственное за составление доклада</w:t>
            </w:r>
          </w:p>
        </w:tc>
        <w:tc>
          <w:tcPr>
            <w:tcW w:w="410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Борискинского 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Исполнительного  Альметьевского  муниципального района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4909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Ж.С.Илалов</w:t>
            </w:r>
            <w:proofErr w:type="spell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807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(Подпись)</w:t>
            </w:r>
          </w:p>
        </w:tc>
      </w:tr>
      <w:tr w:rsidR="00253E1C" w:rsidRPr="00253E1C" w:rsidTr="00774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76" w:type="dxa"/>
          <w:wAfter w:w="1762" w:type="dxa"/>
        </w:trPr>
        <w:tc>
          <w:tcPr>
            <w:tcW w:w="310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8(8553)348421_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(Номер контактного телефона)</w:t>
            </w:r>
          </w:p>
        </w:tc>
        <w:tc>
          <w:tcPr>
            <w:tcW w:w="4909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февраля 201</w:t>
            </w:r>
            <w:r w:rsidR="00FF2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(Дата составления доклада)</w:t>
            </w:r>
          </w:p>
        </w:tc>
        <w:tc>
          <w:tcPr>
            <w:tcW w:w="1807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3E1C" w:rsidRPr="00253E1C" w:rsidRDefault="00253E1C" w:rsidP="00253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2A" w:rsidRDefault="005B7B2A"/>
    <w:sectPr w:rsidR="005B7B2A" w:rsidSect="00BC1050">
      <w:headerReference w:type="default" r:id="rId7"/>
      <w:pgSz w:w="16838" w:h="11906" w:orient="landscape"/>
      <w:pgMar w:top="851" w:right="53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AD" w:rsidRDefault="00E652AD">
      <w:pPr>
        <w:spacing w:after="0" w:line="240" w:lineRule="auto"/>
      </w:pPr>
      <w:r>
        <w:separator/>
      </w:r>
    </w:p>
  </w:endnote>
  <w:endnote w:type="continuationSeparator" w:id="0">
    <w:p w:rsidR="00E652AD" w:rsidRDefault="00E6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AD" w:rsidRDefault="00E652AD">
      <w:pPr>
        <w:spacing w:after="0" w:line="240" w:lineRule="auto"/>
      </w:pPr>
      <w:r>
        <w:separator/>
      </w:r>
    </w:p>
  </w:footnote>
  <w:footnote w:type="continuationSeparator" w:id="0">
    <w:p w:rsidR="00E652AD" w:rsidRDefault="00E6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23B" w:rsidRDefault="00253E1C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2E72">
      <w:rPr>
        <w:noProof/>
      </w:rPr>
      <w:t>2</w:t>
    </w:r>
    <w:r>
      <w:fldChar w:fldCharType="end"/>
    </w:r>
  </w:p>
  <w:p w:rsidR="00CE423B" w:rsidRDefault="00E652AD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1C"/>
    <w:rsid w:val="00253E1C"/>
    <w:rsid w:val="005B7B2A"/>
    <w:rsid w:val="00E652AD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E1C"/>
    <w:pPr>
      <w:keepNext/>
      <w:spacing w:before="240" w:after="60" w:line="240" w:lineRule="auto"/>
      <w:ind w:left="425" w:firstLine="113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253E1C"/>
    <w:pPr>
      <w:keepNext/>
      <w:spacing w:before="240" w:after="60" w:line="240" w:lineRule="auto"/>
      <w:ind w:left="425" w:firstLine="113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253E1C"/>
    <w:pPr>
      <w:keepNext/>
      <w:spacing w:before="240" w:after="60" w:line="240" w:lineRule="auto"/>
      <w:ind w:left="425" w:firstLine="113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qFormat/>
    <w:rsid w:val="00253E1C"/>
    <w:pPr>
      <w:keepNext/>
      <w:spacing w:before="240" w:after="60" w:line="240" w:lineRule="auto"/>
      <w:ind w:left="425" w:firstLine="113"/>
      <w:jc w:val="both"/>
      <w:outlineLvl w:val="3"/>
    </w:pPr>
    <w:rPr>
      <w:rFonts w:ascii="Calibri" w:eastAsia="Calibri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253E1C"/>
    <w:pPr>
      <w:spacing w:before="240" w:after="60" w:line="240" w:lineRule="auto"/>
      <w:ind w:left="425" w:firstLine="113"/>
      <w:jc w:val="both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253E1C"/>
    <w:pPr>
      <w:spacing w:before="240" w:after="60" w:line="240" w:lineRule="auto"/>
      <w:ind w:left="425" w:firstLine="113"/>
      <w:jc w:val="both"/>
      <w:outlineLvl w:val="5"/>
    </w:pPr>
    <w:rPr>
      <w:rFonts w:ascii="Calibri" w:eastAsia="Calibri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253E1C"/>
    <w:pPr>
      <w:spacing w:before="240" w:after="60" w:line="240" w:lineRule="auto"/>
      <w:ind w:left="425" w:firstLine="113"/>
      <w:jc w:val="both"/>
      <w:outlineLvl w:val="6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253E1C"/>
    <w:pPr>
      <w:spacing w:before="240" w:after="60" w:line="240" w:lineRule="auto"/>
      <w:ind w:left="425" w:firstLine="113"/>
      <w:jc w:val="both"/>
      <w:outlineLvl w:val="7"/>
    </w:pPr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253E1C"/>
    <w:pPr>
      <w:spacing w:before="240" w:after="60" w:line="240" w:lineRule="auto"/>
      <w:ind w:left="425" w:firstLine="113"/>
      <w:jc w:val="both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E1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53E1C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253E1C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253E1C"/>
    <w:rPr>
      <w:rFonts w:ascii="Calibri" w:eastAsia="Calibri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253E1C"/>
    <w:rPr>
      <w:rFonts w:ascii="Calibri" w:eastAsia="Calibri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253E1C"/>
    <w:rPr>
      <w:rFonts w:ascii="Calibri" w:eastAsia="Calibri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253E1C"/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253E1C"/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253E1C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253E1C"/>
  </w:style>
  <w:style w:type="paragraph" w:styleId="a3">
    <w:name w:val="Title"/>
    <w:basedOn w:val="a"/>
    <w:next w:val="a"/>
    <w:link w:val="a4"/>
    <w:uiPriority w:val="10"/>
    <w:qFormat/>
    <w:rsid w:val="00253E1C"/>
    <w:pPr>
      <w:spacing w:before="240" w:after="60" w:line="240" w:lineRule="auto"/>
      <w:ind w:left="425" w:firstLine="113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253E1C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253E1C"/>
    <w:pPr>
      <w:spacing w:after="60" w:line="240" w:lineRule="auto"/>
      <w:ind w:left="425" w:firstLine="113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253E1C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7">
    <w:name w:val="Strong"/>
    <w:uiPriority w:val="22"/>
    <w:qFormat/>
    <w:rsid w:val="00253E1C"/>
    <w:rPr>
      <w:b/>
      <w:bCs/>
    </w:rPr>
  </w:style>
  <w:style w:type="character" w:styleId="a8">
    <w:name w:val="Emphasis"/>
    <w:uiPriority w:val="20"/>
    <w:qFormat/>
    <w:rsid w:val="00253E1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53E1C"/>
    <w:pPr>
      <w:spacing w:after="0" w:line="240" w:lineRule="auto"/>
      <w:ind w:left="425" w:firstLine="113"/>
      <w:jc w:val="both"/>
    </w:pPr>
    <w:rPr>
      <w:rFonts w:ascii="Calibri" w:eastAsia="Calibri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53E1C"/>
    <w:pPr>
      <w:spacing w:after="0" w:line="240" w:lineRule="auto"/>
      <w:ind w:left="720" w:firstLine="113"/>
      <w:contextualSpacing/>
      <w:jc w:val="both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53E1C"/>
    <w:pPr>
      <w:spacing w:after="0" w:line="240" w:lineRule="auto"/>
      <w:ind w:left="425" w:firstLine="113"/>
      <w:jc w:val="both"/>
    </w:pPr>
    <w:rPr>
      <w:rFonts w:ascii="Calibri" w:eastAsia="Calibri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53E1C"/>
    <w:rPr>
      <w:rFonts w:ascii="Calibri" w:eastAsia="Calibri" w:hAnsi="Calibri" w:cs="Times New Roman"/>
      <w:i/>
      <w:sz w:val="24"/>
      <w:szCs w:val="24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253E1C"/>
    <w:pPr>
      <w:spacing w:after="0" w:line="240" w:lineRule="auto"/>
      <w:ind w:left="720" w:right="720" w:firstLine="113"/>
      <w:jc w:val="both"/>
    </w:pPr>
    <w:rPr>
      <w:rFonts w:ascii="Calibri" w:eastAsia="Calibri" w:hAnsi="Calibri"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53E1C"/>
    <w:rPr>
      <w:rFonts w:ascii="Calibri" w:eastAsia="Calibri" w:hAnsi="Calibri" w:cs="Times New Roman"/>
      <w:b/>
      <w:i/>
      <w:sz w:val="24"/>
      <w:lang w:val="en-US" w:bidi="en-US"/>
    </w:rPr>
  </w:style>
  <w:style w:type="character" w:styleId="ad">
    <w:name w:val="Subtle Emphasis"/>
    <w:uiPriority w:val="19"/>
    <w:qFormat/>
    <w:rsid w:val="00253E1C"/>
    <w:rPr>
      <w:i/>
      <w:color w:val="5A5A5A"/>
    </w:rPr>
  </w:style>
  <w:style w:type="character" w:styleId="ae">
    <w:name w:val="Intense Emphasis"/>
    <w:uiPriority w:val="21"/>
    <w:qFormat/>
    <w:rsid w:val="00253E1C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53E1C"/>
    <w:rPr>
      <w:sz w:val="24"/>
      <w:szCs w:val="24"/>
      <w:u w:val="single"/>
    </w:rPr>
  </w:style>
  <w:style w:type="character" w:styleId="af0">
    <w:name w:val="Intense Reference"/>
    <w:uiPriority w:val="32"/>
    <w:qFormat/>
    <w:rsid w:val="00253E1C"/>
    <w:rPr>
      <w:b/>
      <w:sz w:val="24"/>
      <w:u w:val="single"/>
    </w:rPr>
  </w:style>
  <w:style w:type="character" w:styleId="af1">
    <w:name w:val="Book Title"/>
    <w:uiPriority w:val="33"/>
    <w:qFormat/>
    <w:rsid w:val="00253E1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253E1C"/>
    <w:pPr>
      <w:outlineLvl w:val="9"/>
    </w:pPr>
  </w:style>
  <w:style w:type="table" w:styleId="af3">
    <w:name w:val="Table Grid"/>
    <w:basedOn w:val="a1"/>
    <w:uiPriority w:val="59"/>
    <w:rsid w:val="00253E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253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53E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253E1C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253E1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253E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253E1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253E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253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53E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253E1C"/>
    <w:rPr>
      <w:vertAlign w:val="superscript"/>
    </w:rPr>
  </w:style>
  <w:style w:type="paragraph" w:customStyle="1" w:styleId="afe">
    <w:name w:val="Прижатый влево"/>
    <w:basedOn w:val="a"/>
    <w:next w:val="a"/>
    <w:uiPriority w:val="99"/>
    <w:rsid w:val="00253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253E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253E1C"/>
    <w:rPr>
      <w:b/>
      <w:bCs/>
      <w:color w:val="008000"/>
    </w:rPr>
  </w:style>
  <w:style w:type="paragraph" w:customStyle="1" w:styleId="ConsPlusCell">
    <w:name w:val="ConsPlusCell"/>
    <w:rsid w:val="00253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E1C"/>
    <w:pPr>
      <w:keepNext/>
      <w:spacing w:before="240" w:after="60" w:line="240" w:lineRule="auto"/>
      <w:ind w:left="425" w:firstLine="113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253E1C"/>
    <w:pPr>
      <w:keepNext/>
      <w:spacing w:before="240" w:after="60" w:line="240" w:lineRule="auto"/>
      <w:ind w:left="425" w:firstLine="113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253E1C"/>
    <w:pPr>
      <w:keepNext/>
      <w:spacing w:before="240" w:after="60" w:line="240" w:lineRule="auto"/>
      <w:ind w:left="425" w:firstLine="113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qFormat/>
    <w:rsid w:val="00253E1C"/>
    <w:pPr>
      <w:keepNext/>
      <w:spacing w:before="240" w:after="60" w:line="240" w:lineRule="auto"/>
      <w:ind w:left="425" w:firstLine="113"/>
      <w:jc w:val="both"/>
      <w:outlineLvl w:val="3"/>
    </w:pPr>
    <w:rPr>
      <w:rFonts w:ascii="Calibri" w:eastAsia="Calibri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253E1C"/>
    <w:pPr>
      <w:spacing w:before="240" w:after="60" w:line="240" w:lineRule="auto"/>
      <w:ind w:left="425" w:firstLine="113"/>
      <w:jc w:val="both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253E1C"/>
    <w:pPr>
      <w:spacing w:before="240" w:after="60" w:line="240" w:lineRule="auto"/>
      <w:ind w:left="425" w:firstLine="113"/>
      <w:jc w:val="both"/>
      <w:outlineLvl w:val="5"/>
    </w:pPr>
    <w:rPr>
      <w:rFonts w:ascii="Calibri" w:eastAsia="Calibri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253E1C"/>
    <w:pPr>
      <w:spacing w:before="240" w:after="60" w:line="240" w:lineRule="auto"/>
      <w:ind w:left="425" w:firstLine="113"/>
      <w:jc w:val="both"/>
      <w:outlineLvl w:val="6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253E1C"/>
    <w:pPr>
      <w:spacing w:before="240" w:after="60" w:line="240" w:lineRule="auto"/>
      <w:ind w:left="425" w:firstLine="113"/>
      <w:jc w:val="both"/>
      <w:outlineLvl w:val="7"/>
    </w:pPr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253E1C"/>
    <w:pPr>
      <w:spacing w:before="240" w:after="60" w:line="240" w:lineRule="auto"/>
      <w:ind w:left="425" w:firstLine="113"/>
      <w:jc w:val="both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E1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53E1C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253E1C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253E1C"/>
    <w:rPr>
      <w:rFonts w:ascii="Calibri" w:eastAsia="Calibri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253E1C"/>
    <w:rPr>
      <w:rFonts w:ascii="Calibri" w:eastAsia="Calibri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253E1C"/>
    <w:rPr>
      <w:rFonts w:ascii="Calibri" w:eastAsia="Calibri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253E1C"/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253E1C"/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253E1C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253E1C"/>
  </w:style>
  <w:style w:type="paragraph" w:styleId="a3">
    <w:name w:val="Title"/>
    <w:basedOn w:val="a"/>
    <w:next w:val="a"/>
    <w:link w:val="a4"/>
    <w:uiPriority w:val="10"/>
    <w:qFormat/>
    <w:rsid w:val="00253E1C"/>
    <w:pPr>
      <w:spacing w:before="240" w:after="60" w:line="240" w:lineRule="auto"/>
      <w:ind w:left="425" w:firstLine="113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253E1C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253E1C"/>
    <w:pPr>
      <w:spacing w:after="60" w:line="240" w:lineRule="auto"/>
      <w:ind w:left="425" w:firstLine="113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253E1C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7">
    <w:name w:val="Strong"/>
    <w:uiPriority w:val="22"/>
    <w:qFormat/>
    <w:rsid w:val="00253E1C"/>
    <w:rPr>
      <w:b/>
      <w:bCs/>
    </w:rPr>
  </w:style>
  <w:style w:type="character" w:styleId="a8">
    <w:name w:val="Emphasis"/>
    <w:uiPriority w:val="20"/>
    <w:qFormat/>
    <w:rsid w:val="00253E1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53E1C"/>
    <w:pPr>
      <w:spacing w:after="0" w:line="240" w:lineRule="auto"/>
      <w:ind w:left="425" w:firstLine="113"/>
      <w:jc w:val="both"/>
    </w:pPr>
    <w:rPr>
      <w:rFonts w:ascii="Calibri" w:eastAsia="Calibri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53E1C"/>
    <w:pPr>
      <w:spacing w:after="0" w:line="240" w:lineRule="auto"/>
      <w:ind w:left="720" w:firstLine="113"/>
      <w:contextualSpacing/>
      <w:jc w:val="both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53E1C"/>
    <w:pPr>
      <w:spacing w:after="0" w:line="240" w:lineRule="auto"/>
      <w:ind w:left="425" w:firstLine="113"/>
      <w:jc w:val="both"/>
    </w:pPr>
    <w:rPr>
      <w:rFonts w:ascii="Calibri" w:eastAsia="Calibri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53E1C"/>
    <w:rPr>
      <w:rFonts w:ascii="Calibri" w:eastAsia="Calibri" w:hAnsi="Calibri" w:cs="Times New Roman"/>
      <w:i/>
      <w:sz w:val="24"/>
      <w:szCs w:val="24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253E1C"/>
    <w:pPr>
      <w:spacing w:after="0" w:line="240" w:lineRule="auto"/>
      <w:ind w:left="720" w:right="720" w:firstLine="113"/>
      <w:jc w:val="both"/>
    </w:pPr>
    <w:rPr>
      <w:rFonts w:ascii="Calibri" w:eastAsia="Calibri" w:hAnsi="Calibri"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53E1C"/>
    <w:rPr>
      <w:rFonts w:ascii="Calibri" w:eastAsia="Calibri" w:hAnsi="Calibri" w:cs="Times New Roman"/>
      <w:b/>
      <w:i/>
      <w:sz w:val="24"/>
      <w:lang w:val="en-US" w:bidi="en-US"/>
    </w:rPr>
  </w:style>
  <w:style w:type="character" w:styleId="ad">
    <w:name w:val="Subtle Emphasis"/>
    <w:uiPriority w:val="19"/>
    <w:qFormat/>
    <w:rsid w:val="00253E1C"/>
    <w:rPr>
      <w:i/>
      <w:color w:val="5A5A5A"/>
    </w:rPr>
  </w:style>
  <w:style w:type="character" w:styleId="ae">
    <w:name w:val="Intense Emphasis"/>
    <w:uiPriority w:val="21"/>
    <w:qFormat/>
    <w:rsid w:val="00253E1C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53E1C"/>
    <w:rPr>
      <w:sz w:val="24"/>
      <w:szCs w:val="24"/>
      <w:u w:val="single"/>
    </w:rPr>
  </w:style>
  <w:style w:type="character" w:styleId="af0">
    <w:name w:val="Intense Reference"/>
    <w:uiPriority w:val="32"/>
    <w:qFormat/>
    <w:rsid w:val="00253E1C"/>
    <w:rPr>
      <w:b/>
      <w:sz w:val="24"/>
      <w:u w:val="single"/>
    </w:rPr>
  </w:style>
  <w:style w:type="character" w:styleId="af1">
    <w:name w:val="Book Title"/>
    <w:uiPriority w:val="33"/>
    <w:qFormat/>
    <w:rsid w:val="00253E1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253E1C"/>
    <w:pPr>
      <w:outlineLvl w:val="9"/>
    </w:pPr>
  </w:style>
  <w:style w:type="table" w:styleId="af3">
    <w:name w:val="Table Grid"/>
    <w:basedOn w:val="a1"/>
    <w:uiPriority w:val="59"/>
    <w:rsid w:val="00253E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253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53E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253E1C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253E1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253E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253E1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253E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253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53E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253E1C"/>
    <w:rPr>
      <w:vertAlign w:val="superscript"/>
    </w:rPr>
  </w:style>
  <w:style w:type="paragraph" w:customStyle="1" w:styleId="afe">
    <w:name w:val="Прижатый влево"/>
    <w:basedOn w:val="a"/>
    <w:next w:val="a"/>
    <w:uiPriority w:val="99"/>
    <w:rsid w:val="00253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253E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253E1C"/>
    <w:rPr>
      <w:b/>
      <w:bCs/>
      <w:color w:val="008000"/>
    </w:rPr>
  </w:style>
  <w:style w:type="paragraph" w:customStyle="1" w:styleId="ConsPlusCell">
    <w:name w:val="ConsPlusCell"/>
    <w:rsid w:val="00253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2017-02-21T10:19:00Z</dcterms:created>
  <dcterms:modified xsi:type="dcterms:W3CDTF">2017-02-21T10:19:00Z</dcterms:modified>
</cp:coreProperties>
</file>